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F0F4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EAST BRIDGE TRAINING (EBT)</w:t>
      </w:r>
    </w:p>
    <w:p w14:paraId="5ED26953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CONFLICT OF INTEREST POLICY</w:t>
      </w:r>
    </w:p>
    <w:p w14:paraId="491F8731" w14:textId="77777777" w:rsidR="009B746B" w:rsidRPr="009B746B" w:rsidRDefault="009B746B" w:rsidP="009B746B">
      <w:pPr>
        <w:rPr>
          <w:lang w:val="en-IN"/>
        </w:rPr>
      </w:pPr>
      <w:r w:rsidRPr="009B746B">
        <w:rPr>
          <w:b/>
          <w:bCs/>
          <w:lang w:val="en-IN"/>
        </w:rPr>
        <w:t>Policy Reference:</w:t>
      </w:r>
      <w:r w:rsidRPr="009B746B">
        <w:rPr>
          <w:lang w:val="en-IN"/>
        </w:rPr>
        <w:t xml:space="preserve"> EBT-POL-COI-007</w:t>
      </w:r>
      <w:r w:rsidRPr="009B746B">
        <w:rPr>
          <w:lang w:val="en-IN"/>
        </w:rPr>
        <w:br/>
      </w:r>
      <w:r w:rsidRPr="009B746B">
        <w:rPr>
          <w:b/>
          <w:bCs/>
          <w:lang w:val="en-IN"/>
        </w:rPr>
        <w:t>Version:</w:t>
      </w:r>
      <w:r w:rsidRPr="009B746B">
        <w:rPr>
          <w:lang w:val="en-IN"/>
        </w:rPr>
        <w:t xml:space="preserve"> 1.0</w:t>
      </w:r>
      <w:r w:rsidRPr="009B746B">
        <w:rPr>
          <w:lang w:val="en-IN"/>
        </w:rPr>
        <w:br/>
      </w:r>
      <w:r w:rsidRPr="009B746B">
        <w:rPr>
          <w:b/>
          <w:bCs/>
          <w:lang w:val="en-IN"/>
        </w:rPr>
        <w:t>Policy Created:</w:t>
      </w:r>
      <w:r w:rsidRPr="009B746B">
        <w:rPr>
          <w:lang w:val="en-IN"/>
        </w:rPr>
        <w:t xml:space="preserve"> September 2025</w:t>
      </w:r>
      <w:r w:rsidRPr="009B746B">
        <w:rPr>
          <w:lang w:val="en-IN"/>
        </w:rPr>
        <w:br/>
      </w:r>
      <w:r w:rsidRPr="009B746B">
        <w:rPr>
          <w:b/>
          <w:bCs/>
          <w:lang w:val="en-IN"/>
        </w:rPr>
        <w:t>Effective Date:</w:t>
      </w:r>
      <w:r w:rsidRPr="009B746B">
        <w:rPr>
          <w:lang w:val="en-IN"/>
        </w:rPr>
        <w:t xml:space="preserve"> 09 September 2025</w:t>
      </w:r>
      <w:r w:rsidRPr="009B746B">
        <w:rPr>
          <w:lang w:val="en-IN"/>
        </w:rPr>
        <w:br/>
      </w:r>
      <w:r w:rsidRPr="009B746B">
        <w:rPr>
          <w:b/>
          <w:bCs/>
          <w:lang w:val="en-IN"/>
        </w:rPr>
        <w:t>Review Date:</w:t>
      </w:r>
      <w:r w:rsidRPr="009B746B">
        <w:rPr>
          <w:lang w:val="en-IN"/>
        </w:rPr>
        <w:t xml:space="preserve"> 09 September 2026</w:t>
      </w:r>
      <w:r w:rsidRPr="009B746B">
        <w:rPr>
          <w:lang w:val="en-IN"/>
        </w:rPr>
        <w:br/>
      </w:r>
      <w:r w:rsidRPr="009B746B">
        <w:rPr>
          <w:b/>
          <w:bCs/>
          <w:lang w:val="en-IN"/>
        </w:rPr>
        <w:t>Approved By:</w:t>
      </w:r>
      <w:r w:rsidRPr="009B746B">
        <w:rPr>
          <w:lang w:val="en-IN"/>
        </w:rPr>
        <w:t xml:space="preserve"> Director, East Bridge Training (EBT)</w:t>
      </w:r>
    </w:p>
    <w:p w14:paraId="59924E2C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6D050EBD">
          <v:rect id="_x0000_i1115" style="width:0;height:1.5pt" o:hralign="center" o:hrstd="t" o:hr="t" fillcolor="#a0a0a0" stroked="f"/>
        </w:pict>
      </w:r>
    </w:p>
    <w:p w14:paraId="5CCDD2FC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1. Purpose</w:t>
      </w:r>
    </w:p>
    <w:p w14:paraId="5F24080E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 xml:space="preserve">The purpose of this </w:t>
      </w:r>
      <w:proofErr w:type="gramStart"/>
      <w:r w:rsidRPr="009B746B">
        <w:rPr>
          <w:lang w:val="en-IN"/>
        </w:rPr>
        <w:t>Conflict of Interest</w:t>
      </w:r>
      <w:proofErr w:type="gramEnd"/>
      <w:r w:rsidRPr="009B746B">
        <w:rPr>
          <w:lang w:val="en-IN"/>
        </w:rPr>
        <w:t xml:space="preserve"> Policy is to ensure that all decisions, actions, and processes at East Bridge Training (EBT) are conducted with integrity, impartiality, and transparency, free from personal, financial, or institutional conflict.</w:t>
      </w:r>
    </w:p>
    <w:p w14:paraId="0455DA41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This policy supports compliance with:</w:t>
      </w:r>
    </w:p>
    <w:p w14:paraId="6CA2A8EE" w14:textId="77777777" w:rsidR="009B746B" w:rsidRPr="009B746B" w:rsidRDefault="009B746B" w:rsidP="009B746B">
      <w:pPr>
        <w:numPr>
          <w:ilvl w:val="0"/>
          <w:numId w:val="10"/>
        </w:numPr>
        <w:rPr>
          <w:lang w:val="en-IN"/>
        </w:rPr>
      </w:pPr>
      <w:r w:rsidRPr="009B746B">
        <w:rPr>
          <w:lang w:val="en-IN"/>
        </w:rPr>
        <w:t>Executive Council Resolution No. 30 of 2021 (Vocational Education Regulation)</w:t>
      </w:r>
    </w:p>
    <w:p w14:paraId="3737B0F1" w14:textId="77777777" w:rsidR="009B746B" w:rsidRPr="009B746B" w:rsidRDefault="009B746B" w:rsidP="009B746B">
      <w:pPr>
        <w:numPr>
          <w:ilvl w:val="0"/>
          <w:numId w:val="10"/>
        </w:numPr>
        <w:rPr>
          <w:lang w:val="en-IN"/>
        </w:rPr>
      </w:pPr>
      <w:r w:rsidRPr="009B746B">
        <w:rPr>
          <w:lang w:val="en-IN"/>
        </w:rPr>
        <w:t xml:space="preserve">KHDA Standards </w:t>
      </w:r>
      <w:r w:rsidRPr="009B746B">
        <w:rPr>
          <w:b/>
          <w:bCs/>
          <w:lang w:val="en-IN"/>
        </w:rPr>
        <w:t>A1.4</w:t>
      </w:r>
      <w:r w:rsidRPr="009B746B">
        <w:rPr>
          <w:lang w:val="en-IN"/>
        </w:rPr>
        <w:t xml:space="preserve">, </w:t>
      </w:r>
      <w:r w:rsidRPr="009B746B">
        <w:rPr>
          <w:b/>
          <w:bCs/>
          <w:lang w:val="en-IN"/>
        </w:rPr>
        <w:t>A1.7</w:t>
      </w:r>
      <w:r w:rsidRPr="009B746B">
        <w:rPr>
          <w:lang w:val="en-IN"/>
        </w:rPr>
        <w:t xml:space="preserve">, </w:t>
      </w:r>
      <w:r w:rsidRPr="009B746B">
        <w:rPr>
          <w:b/>
          <w:bCs/>
          <w:lang w:val="en-IN"/>
        </w:rPr>
        <w:t>A4.1(b)</w:t>
      </w:r>
    </w:p>
    <w:p w14:paraId="6E8BD867" w14:textId="77777777" w:rsidR="009B746B" w:rsidRPr="009B746B" w:rsidRDefault="009B746B" w:rsidP="009B746B">
      <w:pPr>
        <w:numPr>
          <w:ilvl w:val="0"/>
          <w:numId w:val="10"/>
        </w:numPr>
        <w:rPr>
          <w:lang w:val="en-IN"/>
        </w:rPr>
      </w:pPr>
      <w:r w:rsidRPr="009B746B">
        <w:rPr>
          <w:lang w:val="en-IN"/>
        </w:rPr>
        <w:t>KHDA requirements that awarding organisations and training centres remain free from conflict (B1.6(</w:t>
      </w:r>
      <w:proofErr w:type="spellStart"/>
      <w:r w:rsidRPr="009B746B">
        <w:rPr>
          <w:lang w:val="en-IN"/>
        </w:rPr>
        <w:t>i</w:t>
      </w:r>
      <w:proofErr w:type="spellEnd"/>
      <w:r w:rsidRPr="009B746B">
        <w:rPr>
          <w:lang w:val="en-IN"/>
        </w:rPr>
        <w:t>), B1.7(g))</w:t>
      </w:r>
    </w:p>
    <w:p w14:paraId="05F9D2DE" w14:textId="77777777" w:rsidR="009B746B" w:rsidRPr="009B746B" w:rsidRDefault="009B746B" w:rsidP="009B746B">
      <w:pPr>
        <w:numPr>
          <w:ilvl w:val="0"/>
          <w:numId w:val="10"/>
        </w:numPr>
        <w:rPr>
          <w:lang w:val="en-IN"/>
        </w:rPr>
      </w:pPr>
      <w:r w:rsidRPr="009B746B">
        <w:rPr>
          <w:lang w:val="en-IN"/>
        </w:rPr>
        <w:t>Awarding body quality assurance and governance frameworks</w:t>
      </w:r>
    </w:p>
    <w:p w14:paraId="5C1B5468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EBT maintains a strict zero-tolerance approach toward any form of conflict that may compromise fairness in admissions, teaching, assessment, certification, or quality assurance.</w:t>
      </w:r>
    </w:p>
    <w:p w14:paraId="1F81F7BE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761350E2">
          <v:rect id="_x0000_i1116" style="width:0;height:1.5pt" o:hralign="center" o:hrstd="t" o:hr="t" fillcolor="#a0a0a0" stroked="f"/>
        </w:pict>
      </w:r>
    </w:p>
    <w:p w14:paraId="580A0552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2. Scope</w:t>
      </w:r>
    </w:p>
    <w:p w14:paraId="137AF7B4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This policy applies to:</w:t>
      </w:r>
    </w:p>
    <w:p w14:paraId="6F7D70DB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Staff</w:t>
      </w:r>
    </w:p>
    <w:p w14:paraId="3A5F71CD" w14:textId="77777777" w:rsidR="009B746B" w:rsidRPr="009B746B" w:rsidRDefault="009B746B" w:rsidP="009B746B">
      <w:pPr>
        <w:numPr>
          <w:ilvl w:val="0"/>
          <w:numId w:val="11"/>
        </w:numPr>
        <w:rPr>
          <w:lang w:val="en-IN"/>
        </w:rPr>
      </w:pPr>
      <w:r w:rsidRPr="009B746B">
        <w:rPr>
          <w:lang w:val="en-IN"/>
        </w:rPr>
        <w:t>Director</w:t>
      </w:r>
    </w:p>
    <w:p w14:paraId="7A9DA334" w14:textId="77777777" w:rsidR="009B746B" w:rsidRPr="009B746B" w:rsidRDefault="009B746B" w:rsidP="009B746B">
      <w:pPr>
        <w:numPr>
          <w:ilvl w:val="0"/>
          <w:numId w:val="11"/>
        </w:numPr>
        <w:rPr>
          <w:lang w:val="en-IN"/>
        </w:rPr>
      </w:pPr>
      <w:r w:rsidRPr="009B746B">
        <w:rPr>
          <w:lang w:val="en-IN"/>
        </w:rPr>
        <w:t>Shareholders</w:t>
      </w:r>
    </w:p>
    <w:p w14:paraId="0C8B0B03" w14:textId="77777777" w:rsidR="009B746B" w:rsidRPr="009B746B" w:rsidRDefault="009B746B" w:rsidP="009B746B">
      <w:pPr>
        <w:numPr>
          <w:ilvl w:val="0"/>
          <w:numId w:val="11"/>
        </w:numPr>
        <w:rPr>
          <w:lang w:val="en-IN"/>
        </w:rPr>
      </w:pPr>
      <w:r w:rsidRPr="009B746B">
        <w:rPr>
          <w:lang w:val="en-IN"/>
        </w:rPr>
        <w:t>Trainers</w:t>
      </w:r>
    </w:p>
    <w:p w14:paraId="4D323526" w14:textId="77777777" w:rsidR="009B746B" w:rsidRPr="009B746B" w:rsidRDefault="009B746B" w:rsidP="009B746B">
      <w:pPr>
        <w:numPr>
          <w:ilvl w:val="0"/>
          <w:numId w:val="11"/>
        </w:numPr>
        <w:rPr>
          <w:lang w:val="en-IN"/>
        </w:rPr>
      </w:pPr>
      <w:r w:rsidRPr="009B746B">
        <w:rPr>
          <w:lang w:val="en-IN"/>
        </w:rPr>
        <w:t>Assessors</w:t>
      </w:r>
    </w:p>
    <w:p w14:paraId="1A2DE273" w14:textId="77777777" w:rsidR="009B746B" w:rsidRPr="009B746B" w:rsidRDefault="009B746B" w:rsidP="009B746B">
      <w:pPr>
        <w:numPr>
          <w:ilvl w:val="0"/>
          <w:numId w:val="11"/>
        </w:numPr>
        <w:rPr>
          <w:lang w:val="en-IN"/>
        </w:rPr>
      </w:pPr>
      <w:r w:rsidRPr="009B746B">
        <w:rPr>
          <w:lang w:val="en-IN"/>
        </w:rPr>
        <w:lastRenderedPageBreak/>
        <w:t>Internal Verifiers</w:t>
      </w:r>
    </w:p>
    <w:p w14:paraId="6D5521FA" w14:textId="77777777" w:rsidR="009B746B" w:rsidRPr="009B746B" w:rsidRDefault="009B746B" w:rsidP="009B746B">
      <w:pPr>
        <w:numPr>
          <w:ilvl w:val="0"/>
          <w:numId w:val="11"/>
        </w:numPr>
        <w:rPr>
          <w:lang w:val="en-IN"/>
        </w:rPr>
      </w:pPr>
      <w:r w:rsidRPr="009B746B">
        <w:rPr>
          <w:lang w:val="en-IN"/>
        </w:rPr>
        <w:t>Administrative and admissions staff</w:t>
      </w:r>
    </w:p>
    <w:p w14:paraId="7605699B" w14:textId="77777777" w:rsidR="009B746B" w:rsidRPr="009B746B" w:rsidRDefault="009B746B" w:rsidP="009B746B">
      <w:pPr>
        <w:numPr>
          <w:ilvl w:val="0"/>
          <w:numId w:val="11"/>
        </w:numPr>
        <w:rPr>
          <w:lang w:val="en-IN"/>
        </w:rPr>
      </w:pPr>
      <w:r w:rsidRPr="009B746B">
        <w:rPr>
          <w:lang w:val="en-IN"/>
        </w:rPr>
        <w:t>Quality assurance personnel</w:t>
      </w:r>
    </w:p>
    <w:p w14:paraId="48B14DD4" w14:textId="77777777" w:rsidR="009B746B" w:rsidRPr="009B746B" w:rsidRDefault="009B746B" w:rsidP="009B746B">
      <w:pPr>
        <w:numPr>
          <w:ilvl w:val="0"/>
          <w:numId w:val="11"/>
        </w:numPr>
        <w:rPr>
          <w:lang w:val="en-IN"/>
        </w:rPr>
      </w:pPr>
      <w:r w:rsidRPr="009B746B">
        <w:rPr>
          <w:lang w:val="en-IN"/>
        </w:rPr>
        <w:t>Contractors and consultants</w:t>
      </w:r>
    </w:p>
    <w:p w14:paraId="550394DB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Learners</w:t>
      </w:r>
    </w:p>
    <w:p w14:paraId="05728368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Any learner who may have a relationship influencing assessment or administrative decisions.</w:t>
      </w:r>
    </w:p>
    <w:p w14:paraId="1527EB33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External Stakeholders</w:t>
      </w:r>
    </w:p>
    <w:p w14:paraId="3776C2C5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Awarding body representatives, industry partners, and placement organisations involved in assessment or decision-making.</w:t>
      </w:r>
    </w:p>
    <w:p w14:paraId="621ABEBB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5E12E16A">
          <v:rect id="_x0000_i1117" style="width:0;height:1.5pt" o:hralign="center" o:hrstd="t" o:hr="t" fillcolor="#a0a0a0" stroked="f"/>
        </w:pict>
      </w:r>
    </w:p>
    <w:p w14:paraId="3713EA7E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3. Policy Statement</w:t>
      </w:r>
    </w:p>
    <w:p w14:paraId="1217C675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EBT is committed to:</w:t>
      </w:r>
    </w:p>
    <w:p w14:paraId="35253273" w14:textId="77777777" w:rsidR="009B746B" w:rsidRPr="009B746B" w:rsidRDefault="009B746B" w:rsidP="009B746B">
      <w:pPr>
        <w:numPr>
          <w:ilvl w:val="0"/>
          <w:numId w:val="12"/>
        </w:numPr>
        <w:rPr>
          <w:lang w:val="en-IN"/>
        </w:rPr>
      </w:pPr>
      <w:r w:rsidRPr="009B746B">
        <w:rPr>
          <w:lang w:val="en-IN"/>
        </w:rPr>
        <w:t>Preventing all conflicts of interest (personal, financial, academic, or organisational)</w:t>
      </w:r>
    </w:p>
    <w:p w14:paraId="6F0D253D" w14:textId="77777777" w:rsidR="009B746B" w:rsidRPr="009B746B" w:rsidRDefault="009B746B" w:rsidP="009B746B">
      <w:pPr>
        <w:numPr>
          <w:ilvl w:val="0"/>
          <w:numId w:val="12"/>
        </w:numPr>
        <w:rPr>
          <w:lang w:val="en-IN"/>
        </w:rPr>
      </w:pPr>
      <w:r w:rsidRPr="009B746B">
        <w:rPr>
          <w:lang w:val="en-IN"/>
        </w:rPr>
        <w:t>Ensuring decisions are objective, fair, and evidence-based</w:t>
      </w:r>
    </w:p>
    <w:p w14:paraId="665A8F97" w14:textId="77777777" w:rsidR="009B746B" w:rsidRPr="009B746B" w:rsidRDefault="009B746B" w:rsidP="009B746B">
      <w:pPr>
        <w:numPr>
          <w:ilvl w:val="0"/>
          <w:numId w:val="12"/>
        </w:numPr>
        <w:rPr>
          <w:lang w:val="en-IN"/>
        </w:rPr>
      </w:pPr>
      <w:r w:rsidRPr="009B746B">
        <w:rPr>
          <w:lang w:val="en-IN"/>
        </w:rPr>
        <w:t>Maintaining strict boundaries between business operations and assessment decisions</w:t>
      </w:r>
    </w:p>
    <w:p w14:paraId="3B438C91" w14:textId="77777777" w:rsidR="009B746B" w:rsidRPr="009B746B" w:rsidRDefault="009B746B" w:rsidP="009B746B">
      <w:pPr>
        <w:numPr>
          <w:ilvl w:val="0"/>
          <w:numId w:val="12"/>
        </w:numPr>
        <w:rPr>
          <w:lang w:val="en-IN"/>
        </w:rPr>
      </w:pPr>
      <w:r w:rsidRPr="009B746B">
        <w:rPr>
          <w:lang w:val="en-IN"/>
        </w:rPr>
        <w:t>Ensuring no preferential treatment for learners or staff</w:t>
      </w:r>
    </w:p>
    <w:p w14:paraId="2974620E" w14:textId="77777777" w:rsidR="009B746B" w:rsidRPr="009B746B" w:rsidRDefault="009B746B" w:rsidP="009B746B">
      <w:pPr>
        <w:numPr>
          <w:ilvl w:val="0"/>
          <w:numId w:val="12"/>
        </w:numPr>
        <w:rPr>
          <w:lang w:val="en-IN"/>
        </w:rPr>
      </w:pPr>
      <w:r w:rsidRPr="009B746B">
        <w:rPr>
          <w:lang w:val="en-IN"/>
        </w:rPr>
        <w:t>Protecting the credibility and integrity of vocational qualifications</w:t>
      </w:r>
    </w:p>
    <w:p w14:paraId="70E28295" w14:textId="77777777" w:rsidR="009B746B" w:rsidRPr="009B746B" w:rsidRDefault="009B746B" w:rsidP="009B746B">
      <w:pPr>
        <w:numPr>
          <w:ilvl w:val="0"/>
          <w:numId w:val="12"/>
        </w:numPr>
        <w:rPr>
          <w:lang w:val="en-IN"/>
        </w:rPr>
      </w:pPr>
      <w:r w:rsidRPr="009B746B">
        <w:rPr>
          <w:lang w:val="en-IN"/>
        </w:rPr>
        <w:t>Ensuring all staff declare conflicts annually and as they arise</w:t>
      </w:r>
    </w:p>
    <w:p w14:paraId="3CB8839E" w14:textId="77777777" w:rsidR="009B746B" w:rsidRPr="009B746B" w:rsidRDefault="009B746B" w:rsidP="009B746B">
      <w:pPr>
        <w:numPr>
          <w:ilvl w:val="0"/>
          <w:numId w:val="12"/>
        </w:numPr>
        <w:rPr>
          <w:lang w:val="en-IN"/>
        </w:rPr>
      </w:pPr>
      <w:r w:rsidRPr="009B746B">
        <w:rPr>
          <w:lang w:val="en-IN"/>
        </w:rPr>
        <w:t>Complying fully with KHDA governance requirements</w:t>
      </w:r>
    </w:p>
    <w:p w14:paraId="0D9E170C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No staff member may use their role to influence admissions, assessment, progression, or certification outcomes.</w:t>
      </w:r>
    </w:p>
    <w:p w14:paraId="04E6E840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155E8E54">
          <v:rect id="_x0000_i1118" style="width:0;height:1.5pt" o:hralign="center" o:hrstd="t" o:hr="t" fillcolor="#a0a0a0" stroked="f"/>
        </w:pict>
      </w:r>
    </w:p>
    <w:p w14:paraId="29689E44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4. Definitions</w:t>
      </w:r>
    </w:p>
    <w:p w14:paraId="2D8C6754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4.1 Conflict of Interest</w:t>
      </w:r>
    </w:p>
    <w:p w14:paraId="7E64C612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Any situation where personal, professional, financial, or family interests could influence — or appear to influence — objective decision-making at EBT.</w:t>
      </w:r>
    </w:p>
    <w:p w14:paraId="7B0FA875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lastRenderedPageBreak/>
        <w:t>4.2 Personal Conflict</w:t>
      </w:r>
    </w:p>
    <w:p w14:paraId="22BE7D87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Relationships (family, friends, partners) that may bias judgement.</w:t>
      </w:r>
    </w:p>
    <w:p w14:paraId="00E2629D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4.3 Financial Conflict</w:t>
      </w:r>
    </w:p>
    <w:p w14:paraId="07EDC7DA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Any financial interest, gift, incentive, or payment that could influence a decision.</w:t>
      </w:r>
    </w:p>
    <w:p w14:paraId="4818AD1E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4.4 Institutional Conflict</w:t>
      </w:r>
    </w:p>
    <w:p w14:paraId="75B642B5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When EBT’s involvement with external entities may compromise its impartiality.</w:t>
      </w:r>
    </w:p>
    <w:p w14:paraId="6C2A0400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4.5 Academic Conflict</w:t>
      </w:r>
    </w:p>
    <w:p w14:paraId="22E863B8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Situations where staff may be biased in assessment, admission, or learner support decisions.</w:t>
      </w:r>
    </w:p>
    <w:p w14:paraId="48465D17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6786F8CA">
          <v:rect id="_x0000_i1119" style="width:0;height:1.5pt" o:hralign="center" o:hrstd="t" o:hr="t" fillcolor="#a0a0a0" stroked="f"/>
        </w:pict>
      </w:r>
    </w:p>
    <w:p w14:paraId="4E6E0DA0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5. Common Examples of Conflicts of Interest</w:t>
      </w:r>
    </w:p>
    <w:p w14:paraId="6F0D9DE5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Conflicts include, but are not limited to:</w:t>
      </w:r>
    </w:p>
    <w:p w14:paraId="786F542C" w14:textId="77777777" w:rsidR="009B746B" w:rsidRPr="009B746B" w:rsidRDefault="009B746B" w:rsidP="009B746B">
      <w:pPr>
        <w:numPr>
          <w:ilvl w:val="0"/>
          <w:numId w:val="13"/>
        </w:numPr>
        <w:rPr>
          <w:lang w:val="en-IN"/>
        </w:rPr>
      </w:pPr>
      <w:r w:rsidRPr="009B746B">
        <w:rPr>
          <w:lang w:val="en-IN"/>
        </w:rPr>
        <w:t>Assessors marking work of relatives or close associates</w:t>
      </w:r>
    </w:p>
    <w:p w14:paraId="61FD1118" w14:textId="77777777" w:rsidR="009B746B" w:rsidRPr="009B746B" w:rsidRDefault="009B746B" w:rsidP="009B746B">
      <w:pPr>
        <w:numPr>
          <w:ilvl w:val="0"/>
          <w:numId w:val="13"/>
        </w:numPr>
        <w:rPr>
          <w:lang w:val="en-IN"/>
        </w:rPr>
      </w:pPr>
      <w:r w:rsidRPr="009B746B">
        <w:rPr>
          <w:lang w:val="en-IN"/>
        </w:rPr>
        <w:t>Trainers providing paid private tutoring to enrolled learners</w:t>
      </w:r>
    </w:p>
    <w:p w14:paraId="4485C253" w14:textId="77777777" w:rsidR="009B746B" w:rsidRPr="009B746B" w:rsidRDefault="009B746B" w:rsidP="009B746B">
      <w:pPr>
        <w:numPr>
          <w:ilvl w:val="0"/>
          <w:numId w:val="13"/>
        </w:numPr>
        <w:rPr>
          <w:lang w:val="en-IN"/>
        </w:rPr>
      </w:pPr>
      <w:r w:rsidRPr="009B746B">
        <w:rPr>
          <w:lang w:val="en-IN"/>
        </w:rPr>
        <w:t>Staff participating in admissions decisions where personal relationships exist</w:t>
      </w:r>
    </w:p>
    <w:p w14:paraId="5A7CC69D" w14:textId="77777777" w:rsidR="009B746B" w:rsidRPr="009B746B" w:rsidRDefault="009B746B" w:rsidP="009B746B">
      <w:pPr>
        <w:numPr>
          <w:ilvl w:val="0"/>
          <w:numId w:val="13"/>
        </w:numPr>
        <w:rPr>
          <w:lang w:val="en-IN"/>
        </w:rPr>
      </w:pPr>
      <w:r w:rsidRPr="009B746B">
        <w:rPr>
          <w:lang w:val="en-IN"/>
        </w:rPr>
        <w:t>Staff receiving gifts or benefits from learners</w:t>
      </w:r>
    </w:p>
    <w:p w14:paraId="7FDC546A" w14:textId="77777777" w:rsidR="009B746B" w:rsidRPr="009B746B" w:rsidRDefault="009B746B" w:rsidP="009B746B">
      <w:pPr>
        <w:numPr>
          <w:ilvl w:val="0"/>
          <w:numId w:val="13"/>
        </w:numPr>
        <w:rPr>
          <w:lang w:val="en-IN"/>
        </w:rPr>
      </w:pPr>
      <w:r w:rsidRPr="009B746B">
        <w:rPr>
          <w:lang w:val="en-IN"/>
        </w:rPr>
        <w:t>External assessors with financial ties to learners</w:t>
      </w:r>
    </w:p>
    <w:p w14:paraId="429F6F7A" w14:textId="77777777" w:rsidR="009B746B" w:rsidRPr="009B746B" w:rsidRDefault="009B746B" w:rsidP="009B746B">
      <w:pPr>
        <w:numPr>
          <w:ilvl w:val="0"/>
          <w:numId w:val="13"/>
        </w:numPr>
        <w:rPr>
          <w:lang w:val="en-IN"/>
        </w:rPr>
      </w:pPr>
      <w:r w:rsidRPr="009B746B">
        <w:rPr>
          <w:lang w:val="en-IN"/>
        </w:rPr>
        <w:t>Staff holding an ownership stake in a vendor supplying services to EBT</w:t>
      </w:r>
    </w:p>
    <w:p w14:paraId="798476A8" w14:textId="77777777" w:rsidR="009B746B" w:rsidRPr="009B746B" w:rsidRDefault="009B746B" w:rsidP="009B746B">
      <w:pPr>
        <w:numPr>
          <w:ilvl w:val="0"/>
          <w:numId w:val="13"/>
        </w:numPr>
        <w:rPr>
          <w:lang w:val="en-IN"/>
        </w:rPr>
      </w:pPr>
      <w:r w:rsidRPr="009B746B">
        <w:rPr>
          <w:lang w:val="en-IN"/>
        </w:rPr>
        <w:t>Staff recommending training services where they receive commissions</w:t>
      </w:r>
    </w:p>
    <w:p w14:paraId="69C8F4FA" w14:textId="77777777" w:rsidR="009B746B" w:rsidRPr="009B746B" w:rsidRDefault="009B746B" w:rsidP="009B746B">
      <w:pPr>
        <w:numPr>
          <w:ilvl w:val="0"/>
          <w:numId w:val="13"/>
        </w:numPr>
        <w:rPr>
          <w:lang w:val="en-IN"/>
        </w:rPr>
      </w:pPr>
      <w:r w:rsidRPr="009B746B">
        <w:rPr>
          <w:lang w:val="en-IN"/>
        </w:rPr>
        <w:t>Any relationship that compromises independence in decision-making</w:t>
      </w:r>
    </w:p>
    <w:p w14:paraId="5D6B1507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40035A24">
          <v:rect id="_x0000_i1120" style="width:0;height:1.5pt" o:hralign="center" o:hrstd="t" o:hr="t" fillcolor="#a0a0a0" stroked="f"/>
        </w:pict>
      </w:r>
    </w:p>
    <w:p w14:paraId="70129132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6. Mandatory Disclosure Requirements</w:t>
      </w:r>
    </w:p>
    <w:p w14:paraId="13591B56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6.1 Staff Disclosure</w:t>
      </w:r>
    </w:p>
    <w:p w14:paraId="5C7A6292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All staff must:</w:t>
      </w:r>
    </w:p>
    <w:p w14:paraId="5E245AF2" w14:textId="77777777" w:rsidR="009B746B" w:rsidRPr="009B746B" w:rsidRDefault="009B746B" w:rsidP="009B746B">
      <w:pPr>
        <w:numPr>
          <w:ilvl w:val="0"/>
          <w:numId w:val="14"/>
        </w:numPr>
        <w:rPr>
          <w:lang w:val="en-IN"/>
        </w:rPr>
      </w:pPr>
      <w:r w:rsidRPr="009B746B">
        <w:rPr>
          <w:lang w:val="en-IN"/>
        </w:rPr>
        <w:t xml:space="preserve">Submit a </w:t>
      </w:r>
      <w:proofErr w:type="gramStart"/>
      <w:r w:rsidRPr="009B746B">
        <w:rPr>
          <w:b/>
          <w:bCs/>
          <w:lang w:val="en-IN"/>
        </w:rPr>
        <w:t>Conflict of Interest</w:t>
      </w:r>
      <w:proofErr w:type="gramEnd"/>
      <w:r w:rsidRPr="009B746B">
        <w:rPr>
          <w:b/>
          <w:bCs/>
          <w:lang w:val="en-IN"/>
        </w:rPr>
        <w:t xml:space="preserve"> Declaration Form</w:t>
      </w:r>
      <w:r w:rsidRPr="009B746B">
        <w:rPr>
          <w:lang w:val="en-IN"/>
        </w:rPr>
        <w:t xml:space="preserve"> on appointment</w:t>
      </w:r>
    </w:p>
    <w:p w14:paraId="33C1E2F0" w14:textId="77777777" w:rsidR="009B746B" w:rsidRPr="009B746B" w:rsidRDefault="009B746B" w:rsidP="009B746B">
      <w:pPr>
        <w:numPr>
          <w:ilvl w:val="0"/>
          <w:numId w:val="14"/>
        </w:numPr>
        <w:rPr>
          <w:lang w:val="en-IN"/>
        </w:rPr>
      </w:pPr>
      <w:r w:rsidRPr="009B746B">
        <w:rPr>
          <w:lang w:val="en-IN"/>
        </w:rPr>
        <w:t>Update the declaration annually</w:t>
      </w:r>
    </w:p>
    <w:p w14:paraId="302BCFAE" w14:textId="77777777" w:rsidR="009B746B" w:rsidRPr="009B746B" w:rsidRDefault="009B746B" w:rsidP="009B746B">
      <w:pPr>
        <w:numPr>
          <w:ilvl w:val="0"/>
          <w:numId w:val="14"/>
        </w:numPr>
        <w:rPr>
          <w:lang w:val="en-IN"/>
        </w:rPr>
      </w:pPr>
      <w:r w:rsidRPr="009B746B">
        <w:rPr>
          <w:lang w:val="en-IN"/>
        </w:rPr>
        <w:lastRenderedPageBreak/>
        <w:t>Immediately disclose any new or emerging conflicts</w:t>
      </w:r>
    </w:p>
    <w:p w14:paraId="1BCB0C6C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6.2 Learner Disclosure</w:t>
      </w:r>
    </w:p>
    <w:p w14:paraId="57A84647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Learners must disclose:</w:t>
      </w:r>
    </w:p>
    <w:p w14:paraId="6D9CF0BA" w14:textId="77777777" w:rsidR="009B746B" w:rsidRPr="009B746B" w:rsidRDefault="009B746B" w:rsidP="009B746B">
      <w:pPr>
        <w:numPr>
          <w:ilvl w:val="0"/>
          <w:numId w:val="15"/>
        </w:numPr>
        <w:rPr>
          <w:lang w:val="en-IN"/>
        </w:rPr>
      </w:pPr>
      <w:r w:rsidRPr="009B746B">
        <w:rPr>
          <w:lang w:val="en-IN"/>
        </w:rPr>
        <w:t>Relationships with staff</w:t>
      </w:r>
    </w:p>
    <w:p w14:paraId="38CBEEBB" w14:textId="77777777" w:rsidR="009B746B" w:rsidRPr="009B746B" w:rsidRDefault="009B746B" w:rsidP="009B746B">
      <w:pPr>
        <w:numPr>
          <w:ilvl w:val="0"/>
          <w:numId w:val="15"/>
        </w:numPr>
        <w:rPr>
          <w:lang w:val="en-IN"/>
        </w:rPr>
      </w:pPr>
      <w:r w:rsidRPr="009B746B">
        <w:rPr>
          <w:lang w:val="en-IN"/>
        </w:rPr>
        <w:t>Any external assessor or trainer with whom they have personal ties</w:t>
      </w:r>
    </w:p>
    <w:p w14:paraId="029249CA" w14:textId="77777777" w:rsidR="009B746B" w:rsidRPr="009B746B" w:rsidRDefault="009B746B" w:rsidP="009B746B">
      <w:pPr>
        <w:numPr>
          <w:ilvl w:val="0"/>
          <w:numId w:val="15"/>
        </w:numPr>
        <w:rPr>
          <w:lang w:val="en-IN"/>
        </w:rPr>
      </w:pPr>
      <w:r w:rsidRPr="009B746B">
        <w:rPr>
          <w:lang w:val="en-IN"/>
        </w:rPr>
        <w:t>Any situation that could compromise assessment fairness</w:t>
      </w:r>
    </w:p>
    <w:p w14:paraId="4125734B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6.3 Manager Responsibilities</w:t>
      </w:r>
    </w:p>
    <w:p w14:paraId="54C4E4D4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Line managers must:</w:t>
      </w:r>
    </w:p>
    <w:p w14:paraId="208B8F08" w14:textId="77777777" w:rsidR="009B746B" w:rsidRPr="009B746B" w:rsidRDefault="009B746B" w:rsidP="009B746B">
      <w:pPr>
        <w:numPr>
          <w:ilvl w:val="0"/>
          <w:numId w:val="16"/>
        </w:numPr>
        <w:rPr>
          <w:lang w:val="en-IN"/>
        </w:rPr>
      </w:pPr>
      <w:r w:rsidRPr="009B746B">
        <w:rPr>
          <w:lang w:val="en-IN"/>
        </w:rPr>
        <w:t>Review declarations</w:t>
      </w:r>
    </w:p>
    <w:p w14:paraId="24FADC9B" w14:textId="77777777" w:rsidR="009B746B" w:rsidRPr="009B746B" w:rsidRDefault="009B746B" w:rsidP="009B746B">
      <w:pPr>
        <w:numPr>
          <w:ilvl w:val="0"/>
          <w:numId w:val="16"/>
        </w:numPr>
        <w:rPr>
          <w:lang w:val="en-IN"/>
        </w:rPr>
      </w:pPr>
      <w:r w:rsidRPr="009B746B">
        <w:rPr>
          <w:lang w:val="en-IN"/>
        </w:rPr>
        <w:t>Document and manage conflicts</w:t>
      </w:r>
    </w:p>
    <w:p w14:paraId="46EDF0B6" w14:textId="77777777" w:rsidR="009B746B" w:rsidRPr="009B746B" w:rsidRDefault="009B746B" w:rsidP="009B746B">
      <w:pPr>
        <w:numPr>
          <w:ilvl w:val="0"/>
          <w:numId w:val="16"/>
        </w:numPr>
        <w:rPr>
          <w:lang w:val="en-IN"/>
        </w:rPr>
      </w:pPr>
      <w:r w:rsidRPr="009B746B">
        <w:rPr>
          <w:lang w:val="en-IN"/>
        </w:rPr>
        <w:t>Escalate serious cases to the Director</w:t>
      </w:r>
    </w:p>
    <w:p w14:paraId="31385E1E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5BA5DB1D">
          <v:rect id="_x0000_i1121" style="width:0;height:1.5pt" o:hralign="center" o:hrstd="t" o:hr="t" fillcolor="#a0a0a0" stroked="f"/>
        </w:pict>
      </w:r>
    </w:p>
    <w:p w14:paraId="5A7F833B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7. Restrictions &amp; Prohibited Activities</w:t>
      </w:r>
    </w:p>
    <w:p w14:paraId="68DA6292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To comply with KHDA Standards A1.7 and A4.1(b), EBT strictly prohibits:</w:t>
      </w:r>
    </w:p>
    <w:p w14:paraId="1D0469B6" w14:textId="77777777" w:rsidR="009B746B" w:rsidRPr="009B746B" w:rsidRDefault="009B746B" w:rsidP="009B746B">
      <w:pPr>
        <w:numPr>
          <w:ilvl w:val="0"/>
          <w:numId w:val="17"/>
        </w:numPr>
        <w:rPr>
          <w:lang w:val="en-IN"/>
        </w:rPr>
      </w:pPr>
      <w:r w:rsidRPr="009B746B">
        <w:rPr>
          <w:lang w:val="en-IN"/>
        </w:rPr>
        <w:t>Staff influencing admissions, assessment, or certification for relatives or associates</w:t>
      </w:r>
    </w:p>
    <w:p w14:paraId="4D582975" w14:textId="77777777" w:rsidR="009B746B" w:rsidRPr="009B746B" w:rsidRDefault="009B746B" w:rsidP="009B746B">
      <w:pPr>
        <w:numPr>
          <w:ilvl w:val="0"/>
          <w:numId w:val="17"/>
        </w:numPr>
        <w:rPr>
          <w:lang w:val="en-IN"/>
        </w:rPr>
      </w:pPr>
      <w:r w:rsidRPr="009B746B">
        <w:rPr>
          <w:lang w:val="en-IN"/>
        </w:rPr>
        <w:t>Staff assessing or verifying work of individuals with personal connections</w:t>
      </w:r>
    </w:p>
    <w:p w14:paraId="4A3B4C23" w14:textId="77777777" w:rsidR="009B746B" w:rsidRPr="009B746B" w:rsidRDefault="009B746B" w:rsidP="009B746B">
      <w:pPr>
        <w:numPr>
          <w:ilvl w:val="0"/>
          <w:numId w:val="17"/>
        </w:numPr>
        <w:rPr>
          <w:lang w:val="en-IN"/>
        </w:rPr>
      </w:pPr>
      <w:r w:rsidRPr="009B746B">
        <w:rPr>
          <w:lang w:val="en-IN"/>
        </w:rPr>
        <w:t>Trainers offering paid tutoring or private lessons to current learners</w:t>
      </w:r>
    </w:p>
    <w:p w14:paraId="5FE4C45D" w14:textId="77777777" w:rsidR="009B746B" w:rsidRPr="009B746B" w:rsidRDefault="009B746B" w:rsidP="009B746B">
      <w:pPr>
        <w:numPr>
          <w:ilvl w:val="0"/>
          <w:numId w:val="17"/>
        </w:numPr>
        <w:rPr>
          <w:lang w:val="en-IN"/>
        </w:rPr>
      </w:pPr>
      <w:r w:rsidRPr="009B746B">
        <w:rPr>
          <w:lang w:val="en-IN"/>
        </w:rPr>
        <w:t>Staff accepting gifts, incentives, or favours from learners</w:t>
      </w:r>
    </w:p>
    <w:p w14:paraId="664E01F8" w14:textId="77777777" w:rsidR="009B746B" w:rsidRPr="009B746B" w:rsidRDefault="009B746B" w:rsidP="009B746B">
      <w:pPr>
        <w:numPr>
          <w:ilvl w:val="0"/>
          <w:numId w:val="17"/>
        </w:numPr>
        <w:rPr>
          <w:lang w:val="en-IN"/>
        </w:rPr>
      </w:pPr>
      <w:r w:rsidRPr="009B746B">
        <w:rPr>
          <w:lang w:val="en-IN"/>
        </w:rPr>
        <w:t>Staff engaging in external employment that conflicts with EBT duties</w:t>
      </w:r>
    </w:p>
    <w:p w14:paraId="59AE6D4B" w14:textId="77777777" w:rsidR="009B746B" w:rsidRPr="009B746B" w:rsidRDefault="009B746B" w:rsidP="009B746B">
      <w:pPr>
        <w:numPr>
          <w:ilvl w:val="0"/>
          <w:numId w:val="17"/>
        </w:numPr>
        <w:rPr>
          <w:lang w:val="en-IN"/>
        </w:rPr>
      </w:pPr>
      <w:r w:rsidRPr="009B746B">
        <w:rPr>
          <w:lang w:val="en-IN"/>
        </w:rPr>
        <w:t>Staff promoting external programmes not authorised by EBT or KHDA</w:t>
      </w:r>
    </w:p>
    <w:p w14:paraId="13A3CD29" w14:textId="77777777" w:rsidR="009B746B" w:rsidRPr="009B746B" w:rsidRDefault="009B746B" w:rsidP="009B746B">
      <w:pPr>
        <w:numPr>
          <w:ilvl w:val="0"/>
          <w:numId w:val="17"/>
        </w:numPr>
        <w:rPr>
          <w:lang w:val="en-IN"/>
        </w:rPr>
      </w:pPr>
      <w:r w:rsidRPr="009B746B">
        <w:rPr>
          <w:lang w:val="en-IN"/>
        </w:rPr>
        <w:t>Awarding body representatives assessing learners they have trained privately</w:t>
      </w:r>
    </w:p>
    <w:p w14:paraId="0E025B7D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If any prohibited activity occurs, immediate disciplinary action will be taken.</w:t>
      </w:r>
    </w:p>
    <w:p w14:paraId="0B7C89BA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04D3BEAE">
          <v:rect id="_x0000_i1122" style="width:0;height:1.5pt" o:hralign="center" o:hrstd="t" o:hr="t" fillcolor="#a0a0a0" stroked="f"/>
        </w:pict>
      </w:r>
    </w:p>
    <w:p w14:paraId="43BC6AB4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8. Managing Conflicts of Interest</w:t>
      </w:r>
    </w:p>
    <w:p w14:paraId="2E5655D5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Where a conflict is identified, EBT will:</w:t>
      </w:r>
    </w:p>
    <w:p w14:paraId="41278912" w14:textId="77777777" w:rsidR="009B746B" w:rsidRPr="009B746B" w:rsidRDefault="009B746B" w:rsidP="009B746B">
      <w:pPr>
        <w:numPr>
          <w:ilvl w:val="0"/>
          <w:numId w:val="18"/>
        </w:numPr>
        <w:rPr>
          <w:lang w:val="en-IN"/>
        </w:rPr>
      </w:pPr>
      <w:r w:rsidRPr="009B746B">
        <w:rPr>
          <w:b/>
          <w:bCs/>
          <w:lang w:val="en-IN"/>
        </w:rPr>
        <w:t>Record</w:t>
      </w:r>
      <w:r w:rsidRPr="009B746B">
        <w:rPr>
          <w:lang w:val="en-IN"/>
        </w:rPr>
        <w:t xml:space="preserve"> the conflict in the Conflict Register</w:t>
      </w:r>
    </w:p>
    <w:p w14:paraId="24C25653" w14:textId="77777777" w:rsidR="009B746B" w:rsidRPr="009B746B" w:rsidRDefault="009B746B" w:rsidP="009B746B">
      <w:pPr>
        <w:numPr>
          <w:ilvl w:val="0"/>
          <w:numId w:val="18"/>
        </w:numPr>
        <w:rPr>
          <w:lang w:val="en-IN"/>
        </w:rPr>
      </w:pPr>
      <w:r w:rsidRPr="009B746B">
        <w:rPr>
          <w:b/>
          <w:bCs/>
          <w:lang w:val="en-IN"/>
        </w:rPr>
        <w:lastRenderedPageBreak/>
        <w:t>Assess</w:t>
      </w:r>
      <w:r w:rsidRPr="009B746B">
        <w:rPr>
          <w:lang w:val="en-IN"/>
        </w:rPr>
        <w:t xml:space="preserve"> the severity</w:t>
      </w:r>
    </w:p>
    <w:p w14:paraId="4E767F60" w14:textId="77777777" w:rsidR="009B746B" w:rsidRPr="009B746B" w:rsidRDefault="009B746B" w:rsidP="009B746B">
      <w:pPr>
        <w:numPr>
          <w:ilvl w:val="0"/>
          <w:numId w:val="18"/>
        </w:numPr>
        <w:rPr>
          <w:lang w:val="en-IN"/>
        </w:rPr>
      </w:pPr>
      <w:r w:rsidRPr="009B746B">
        <w:rPr>
          <w:b/>
          <w:bCs/>
          <w:lang w:val="en-IN"/>
        </w:rPr>
        <w:t>Decide</w:t>
      </w:r>
      <w:r w:rsidRPr="009B746B">
        <w:rPr>
          <w:lang w:val="en-IN"/>
        </w:rPr>
        <w:t xml:space="preserve"> mitigation steps</w:t>
      </w:r>
    </w:p>
    <w:p w14:paraId="33015BD2" w14:textId="77777777" w:rsidR="009B746B" w:rsidRPr="009B746B" w:rsidRDefault="009B746B" w:rsidP="009B746B">
      <w:pPr>
        <w:numPr>
          <w:ilvl w:val="0"/>
          <w:numId w:val="18"/>
        </w:numPr>
        <w:rPr>
          <w:lang w:val="en-IN"/>
        </w:rPr>
      </w:pPr>
      <w:r w:rsidRPr="009B746B">
        <w:rPr>
          <w:b/>
          <w:bCs/>
          <w:lang w:val="en-IN"/>
        </w:rPr>
        <w:t>Remove</w:t>
      </w:r>
      <w:r w:rsidRPr="009B746B">
        <w:rPr>
          <w:lang w:val="en-IN"/>
        </w:rPr>
        <w:t xml:space="preserve"> the conflicted individual from the process</w:t>
      </w:r>
    </w:p>
    <w:p w14:paraId="562C47E0" w14:textId="77777777" w:rsidR="009B746B" w:rsidRPr="009B746B" w:rsidRDefault="009B746B" w:rsidP="009B746B">
      <w:pPr>
        <w:numPr>
          <w:ilvl w:val="0"/>
          <w:numId w:val="18"/>
        </w:numPr>
        <w:rPr>
          <w:lang w:val="en-IN"/>
        </w:rPr>
      </w:pPr>
      <w:r w:rsidRPr="009B746B">
        <w:rPr>
          <w:b/>
          <w:bCs/>
          <w:lang w:val="en-IN"/>
        </w:rPr>
        <w:t>Appoint</w:t>
      </w:r>
      <w:r w:rsidRPr="009B746B">
        <w:rPr>
          <w:lang w:val="en-IN"/>
        </w:rPr>
        <w:t xml:space="preserve"> an unbiased staff member to manage the activity</w:t>
      </w:r>
    </w:p>
    <w:p w14:paraId="7BCE4C3D" w14:textId="77777777" w:rsidR="009B746B" w:rsidRPr="009B746B" w:rsidRDefault="009B746B" w:rsidP="009B746B">
      <w:pPr>
        <w:numPr>
          <w:ilvl w:val="0"/>
          <w:numId w:val="18"/>
        </w:numPr>
        <w:rPr>
          <w:lang w:val="en-IN"/>
        </w:rPr>
      </w:pPr>
      <w:r w:rsidRPr="009B746B">
        <w:rPr>
          <w:b/>
          <w:bCs/>
          <w:lang w:val="en-IN"/>
        </w:rPr>
        <w:t>Notify</w:t>
      </w:r>
      <w:r w:rsidRPr="009B746B">
        <w:rPr>
          <w:lang w:val="en-IN"/>
        </w:rPr>
        <w:t xml:space="preserve"> KHDA or awarding bodies where required</w:t>
      </w:r>
    </w:p>
    <w:p w14:paraId="344FC7A2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Mitigation may include:</w:t>
      </w:r>
    </w:p>
    <w:p w14:paraId="73AA54E9" w14:textId="77777777" w:rsidR="009B746B" w:rsidRPr="009B746B" w:rsidRDefault="009B746B" w:rsidP="009B746B">
      <w:pPr>
        <w:numPr>
          <w:ilvl w:val="0"/>
          <w:numId w:val="19"/>
        </w:numPr>
        <w:rPr>
          <w:lang w:val="en-IN"/>
        </w:rPr>
      </w:pPr>
      <w:r w:rsidRPr="009B746B">
        <w:rPr>
          <w:lang w:val="en-IN"/>
        </w:rPr>
        <w:t>Reassigning assessors</w:t>
      </w:r>
    </w:p>
    <w:p w14:paraId="68885E49" w14:textId="77777777" w:rsidR="009B746B" w:rsidRPr="009B746B" w:rsidRDefault="009B746B" w:rsidP="009B746B">
      <w:pPr>
        <w:numPr>
          <w:ilvl w:val="0"/>
          <w:numId w:val="19"/>
        </w:numPr>
        <w:rPr>
          <w:lang w:val="en-IN"/>
        </w:rPr>
      </w:pPr>
      <w:r w:rsidRPr="009B746B">
        <w:rPr>
          <w:lang w:val="en-IN"/>
        </w:rPr>
        <w:t>Changing verifier allocations</w:t>
      </w:r>
    </w:p>
    <w:p w14:paraId="5296093C" w14:textId="77777777" w:rsidR="009B746B" w:rsidRPr="009B746B" w:rsidRDefault="009B746B" w:rsidP="009B746B">
      <w:pPr>
        <w:numPr>
          <w:ilvl w:val="0"/>
          <w:numId w:val="19"/>
        </w:numPr>
        <w:rPr>
          <w:lang w:val="en-IN"/>
        </w:rPr>
      </w:pPr>
      <w:r w:rsidRPr="009B746B">
        <w:rPr>
          <w:lang w:val="en-IN"/>
        </w:rPr>
        <w:t>Reallocating admissions tasks</w:t>
      </w:r>
    </w:p>
    <w:p w14:paraId="60ED2028" w14:textId="77777777" w:rsidR="009B746B" w:rsidRPr="009B746B" w:rsidRDefault="009B746B" w:rsidP="009B746B">
      <w:pPr>
        <w:numPr>
          <w:ilvl w:val="0"/>
          <w:numId w:val="19"/>
        </w:numPr>
        <w:rPr>
          <w:lang w:val="en-IN"/>
        </w:rPr>
      </w:pPr>
      <w:r w:rsidRPr="009B746B">
        <w:rPr>
          <w:lang w:val="en-IN"/>
        </w:rPr>
        <w:t>Preventing conflicted personnel from decision-making</w:t>
      </w:r>
    </w:p>
    <w:p w14:paraId="03F784D0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4A46D634">
          <v:rect id="_x0000_i1123" style="width:0;height:1.5pt" o:hralign="center" o:hrstd="t" o:hr="t" fillcolor="#a0a0a0" stroked="f"/>
        </w:pict>
      </w:r>
    </w:p>
    <w:p w14:paraId="49AED0B7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9. Confidentiality &amp; Data Protection</w:t>
      </w:r>
    </w:p>
    <w:p w14:paraId="5289DC50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All disclosures are handled in accordance with:</w:t>
      </w:r>
    </w:p>
    <w:p w14:paraId="0DD5CF1E" w14:textId="77777777" w:rsidR="009B746B" w:rsidRPr="009B746B" w:rsidRDefault="009B746B" w:rsidP="009B746B">
      <w:pPr>
        <w:numPr>
          <w:ilvl w:val="0"/>
          <w:numId w:val="20"/>
        </w:numPr>
        <w:rPr>
          <w:lang w:val="en-IN"/>
        </w:rPr>
      </w:pPr>
      <w:r w:rsidRPr="009B746B">
        <w:rPr>
          <w:lang w:val="en-IN"/>
        </w:rPr>
        <w:t>KHDA Standard A2.10</w:t>
      </w:r>
    </w:p>
    <w:p w14:paraId="5E777482" w14:textId="77777777" w:rsidR="009B746B" w:rsidRPr="009B746B" w:rsidRDefault="009B746B" w:rsidP="009B746B">
      <w:pPr>
        <w:numPr>
          <w:ilvl w:val="0"/>
          <w:numId w:val="20"/>
        </w:numPr>
        <w:rPr>
          <w:lang w:val="en-IN"/>
        </w:rPr>
      </w:pPr>
      <w:r w:rsidRPr="009B746B">
        <w:rPr>
          <w:lang w:val="en-IN"/>
        </w:rPr>
        <w:t>EBT Data Protection Policy</w:t>
      </w:r>
    </w:p>
    <w:p w14:paraId="27BD8B6D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Information is stored securely and shared only with authorised individuals.</w:t>
      </w:r>
    </w:p>
    <w:p w14:paraId="2D9A932A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1A945D30">
          <v:rect id="_x0000_i1124" style="width:0;height:1.5pt" o:hralign="center" o:hrstd="t" o:hr="t" fillcolor="#a0a0a0" stroked="f"/>
        </w:pict>
      </w:r>
    </w:p>
    <w:p w14:paraId="1E0C7F70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10. Monitoring &amp; Compliance</w:t>
      </w:r>
    </w:p>
    <w:p w14:paraId="6081A29C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To comply with KHDA Standards A4 and B4:</w:t>
      </w:r>
    </w:p>
    <w:p w14:paraId="684819FB" w14:textId="77777777" w:rsidR="009B746B" w:rsidRPr="009B746B" w:rsidRDefault="009B746B" w:rsidP="009B746B">
      <w:pPr>
        <w:numPr>
          <w:ilvl w:val="0"/>
          <w:numId w:val="21"/>
        </w:numPr>
        <w:rPr>
          <w:lang w:val="en-IN"/>
        </w:rPr>
      </w:pPr>
      <w:r w:rsidRPr="009B746B">
        <w:rPr>
          <w:lang w:val="en-IN"/>
        </w:rPr>
        <w:t>The Quality Nominee conducts periodic reviews</w:t>
      </w:r>
    </w:p>
    <w:p w14:paraId="31198DD2" w14:textId="77777777" w:rsidR="009B746B" w:rsidRPr="009B746B" w:rsidRDefault="009B746B" w:rsidP="009B746B">
      <w:pPr>
        <w:numPr>
          <w:ilvl w:val="0"/>
          <w:numId w:val="21"/>
        </w:numPr>
        <w:rPr>
          <w:lang w:val="en-IN"/>
        </w:rPr>
      </w:pPr>
      <w:r w:rsidRPr="009B746B">
        <w:rPr>
          <w:lang w:val="en-IN"/>
        </w:rPr>
        <w:t>Conflict registers are audited annually</w:t>
      </w:r>
    </w:p>
    <w:p w14:paraId="3C6290C0" w14:textId="77777777" w:rsidR="009B746B" w:rsidRPr="009B746B" w:rsidRDefault="009B746B" w:rsidP="009B746B">
      <w:pPr>
        <w:numPr>
          <w:ilvl w:val="0"/>
          <w:numId w:val="21"/>
        </w:numPr>
        <w:rPr>
          <w:lang w:val="en-IN"/>
        </w:rPr>
      </w:pPr>
      <w:r w:rsidRPr="009B746B">
        <w:rPr>
          <w:lang w:val="en-IN"/>
        </w:rPr>
        <w:t>Internal Verification checks ensure no conflict in assessment allocation</w:t>
      </w:r>
    </w:p>
    <w:p w14:paraId="2C57D8F6" w14:textId="77777777" w:rsidR="009B746B" w:rsidRPr="009B746B" w:rsidRDefault="009B746B" w:rsidP="009B746B">
      <w:pPr>
        <w:numPr>
          <w:ilvl w:val="0"/>
          <w:numId w:val="21"/>
        </w:numPr>
        <w:rPr>
          <w:lang w:val="en-IN"/>
        </w:rPr>
      </w:pPr>
      <w:r w:rsidRPr="009B746B">
        <w:rPr>
          <w:lang w:val="en-IN"/>
        </w:rPr>
        <w:t>Any breach is investigated under the Staff Malpractice &amp; Maladministration Policy</w:t>
      </w:r>
    </w:p>
    <w:p w14:paraId="412B2C95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48C7BB2D">
          <v:rect id="_x0000_i1125" style="width:0;height:1.5pt" o:hralign="center" o:hrstd="t" o:hr="t" fillcolor="#a0a0a0" stroked="f"/>
        </w:pict>
      </w:r>
    </w:p>
    <w:p w14:paraId="305A3A74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11. Non-Compliance &amp; Consequences</w:t>
      </w:r>
    </w:p>
    <w:p w14:paraId="10814451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Failure to declare or manage a conflict may lead to:</w:t>
      </w:r>
    </w:p>
    <w:p w14:paraId="4A26988A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lastRenderedPageBreak/>
        <w:t>For Staff</w:t>
      </w:r>
    </w:p>
    <w:p w14:paraId="45B6BA0D" w14:textId="77777777" w:rsidR="009B746B" w:rsidRPr="009B746B" w:rsidRDefault="009B746B" w:rsidP="009B746B">
      <w:pPr>
        <w:numPr>
          <w:ilvl w:val="0"/>
          <w:numId w:val="22"/>
        </w:numPr>
        <w:rPr>
          <w:lang w:val="en-IN"/>
        </w:rPr>
      </w:pPr>
      <w:r w:rsidRPr="009B746B">
        <w:rPr>
          <w:lang w:val="en-IN"/>
        </w:rPr>
        <w:t>Formal warning</w:t>
      </w:r>
    </w:p>
    <w:p w14:paraId="0E0C6F59" w14:textId="77777777" w:rsidR="009B746B" w:rsidRPr="009B746B" w:rsidRDefault="009B746B" w:rsidP="009B746B">
      <w:pPr>
        <w:numPr>
          <w:ilvl w:val="0"/>
          <w:numId w:val="22"/>
        </w:numPr>
        <w:rPr>
          <w:lang w:val="en-IN"/>
        </w:rPr>
      </w:pPr>
      <w:r w:rsidRPr="009B746B">
        <w:rPr>
          <w:lang w:val="en-IN"/>
        </w:rPr>
        <w:t>Removal from assessment duties</w:t>
      </w:r>
    </w:p>
    <w:p w14:paraId="0E186F05" w14:textId="77777777" w:rsidR="009B746B" w:rsidRPr="009B746B" w:rsidRDefault="009B746B" w:rsidP="009B746B">
      <w:pPr>
        <w:numPr>
          <w:ilvl w:val="0"/>
          <w:numId w:val="22"/>
        </w:numPr>
        <w:rPr>
          <w:lang w:val="en-IN"/>
        </w:rPr>
      </w:pPr>
      <w:r w:rsidRPr="009B746B">
        <w:rPr>
          <w:lang w:val="en-IN"/>
        </w:rPr>
        <w:t>HR disciplinary action</w:t>
      </w:r>
    </w:p>
    <w:p w14:paraId="5A67C372" w14:textId="77777777" w:rsidR="009B746B" w:rsidRPr="009B746B" w:rsidRDefault="009B746B" w:rsidP="009B746B">
      <w:pPr>
        <w:numPr>
          <w:ilvl w:val="0"/>
          <w:numId w:val="22"/>
        </w:numPr>
        <w:rPr>
          <w:lang w:val="en-IN"/>
        </w:rPr>
      </w:pPr>
      <w:r w:rsidRPr="009B746B">
        <w:rPr>
          <w:lang w:val="en-IN"/>
        </w:rPr>
        <w:t>Suspension or dismissal</w:t>
      </w:r>
    </w:p>
    <w:p w14:paraId="59C1C1D5" w14:textId="77777777" w:rsidR="009B746B" w:rsidRPr="009B746B" w:rsidRDefault="009B746B" w:rsidP="009B746B">
      <w:pPr>
        <w:numPr>
          <w:ilvl w:val="0"/>
          <w:numId w:val="22"/>
        </w:numPr>
        <w:rPr>
          <w:lang w:val="en-IN"/>
        </w:rPr>
      </w:pPr>
      <w:r w:rsidRPr="009B746B">
        <w:rPr>
          <w:lang w:val="en-IN"/>
        </w:rPr>
        <w:t>Reporting to KHDA</w:t>
      </w:r>
    </w:p>
    <w:p w14:paraId="7935E4EA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For Learners</w:t>
      </w:r>
    </w:p>
    <w:p w14:paraId="239BCB5D" w14:textId="77777777" w:rsidR="009B746B" w:rsidRPr="009B746B" w:rsidRDefault="009B746B" w:rsidP="009B746B">
      <w:pPr>
        <w:numPr>
          <w:ilvl w:val="0"/>
          <w:numId w:val="23"/>
        </w:numPr>
        <w:rPr>
          <w:lang w:val="en-IN"/>
        </w:rPr>
      </w:pPr>
      <w:r w:rsidRPr="009B746B">
        <w:rPr>
          <w:lang w:val="en-IN"/>
        </w:rPr>
        <w:t>Reassessment</w:t>
      </w:r>
    </w:p>
    <w:p w14:paraId="2AD5670F" w14:textId="77777777" w:rsidR="009B746B" w:rsidRPr="009B746B" w:rsidRDefault="009B746B" w:rsidP="009B746B">
      <w:pPr>
        <w:numPr>
          <w:ilvl w:val="0"/>
          <w:numId w:val="23"/>
        </w:numPr>
        <w:rPr>
          <w:lang w:val="en-IN"/>
        </w:rPr>
      </w:pPr>
      <w:r w:rsidRPr="009B746B">
        <w:rPr>
          <w:lang w:val="en-IN"/>
        </w:rPr>
        <w:t>Disqualification</w:t>
      </w:r>
    </w:p>
    <w:p w14:paraId="57DF6DBC" w14:textId="77777777" w:rsidR="009B746B" w:rsidRPr="009B746B" w:rsidRDefault="009B746B" w:rsidP="009B746B">
      <w:pPr>
        <w:numPr>
          <w:ilvl w:val="0"/>
          <w:numId w:val="23"/>
        </w:numPr>
        <w:rPr>
          <w:lang w:val="en-IN"/>
        </w:rPr>
      </w:pPr>
      <w:r w:rsidRPr="009B746B">
        <w:rPr>
          <w:lang w:val="en-IN"/>
        </w:rPr>
        <w:t>Disciplinary action for attempted influence</w:t>
      </w:r>
    </w:p>
    <w:p w14:paraId="3181A37C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Deliberate concealment is considered misconduct.</w:t>
      </w:r>
    </w:p>
    <w:p w14:paraId="55698BE3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316484CA">
          <v:rect id="_x0000_i1126" style="width:0;height:1.5pt" o:hralign="center" o:hrstd="t" o:hr="t" fillcolor="#a0a0a0" stroked="f"/>
        </w:pict>
      </w:r>
    </w:p>
    <w:p w14:paraId="4D285403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12. Appeals</w:t>
      </w:r>
    </w:p>
    <w:p w14:paraId="1F2BDB0C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 xml:space="preserve">Staff or learners may appeal conflict-related decisions under the </w:t>
      </w:r>
      <w:r w:rsidRPr="009B746B">
        <w:rPr>
          <w:b/>
          <w:bCs/>
          <w:lang w:val="en-IN"/>
        </w:rPr>
        <w:t>EBT Appeals &amp; Grievances/Complaints Policy</w:t>
      </w:r>
      <w:r w:rsidRPr="009B746B">
        <w:rPr>
          <w:lang w:val="en-IN"/>
        </w:rPr>
        <w:t xml:space="preserve"> within </w:t>
      </w:r>
      <w:r w:rsidRPr="009B746B">
        <w:rPr>
          <w:b/>
          <w:bCs/>
          <w:lang w:val="en-IN"/>
        </w:rPr>
        <w:t>5 working days</w:t>
      </w:r>
      <w:r w:rsidRPr="009B746B">
        <w:rPr>
          <w:lang w:val="en-IN"/>
        </w:rPr>
        <w:t>.</w:t>
      </w:r>
    </w:p>
    <w:p w14:paraId="707F1AAC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7847123F">
          <v:rect id="_x0000_i1127" style="width:0;height:1.5pt" o:hralign="center" o:hrstd="t" o:hr="t" fillcolor="#a0a0a0" stroked="f"/>
        </w:pict>
      </w:r>
    </w:p>
    <w:p w14:paraId="572F24FB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13. Roles &amp; Responsibilities</w:t>
      </w:r>
    </w:p>
    <w:p w14:paraId="46AA8B9F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Director</w:t>
      </w:r>
    </w:p>
    <w:p w14:paraId="17BB35D2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Final authority for conflict decisions; ensures KHDA compliance.</w:t>
      </w:r>
    </w:p>
    <w:p w14:paraId="040C71B7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Academic Head</w:t>
      </w:r>
    </w:p>
    <w:p w14:paraId="6C732456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Monitors academic conflicts and reassigns duties.</w:t>
      </w:r>
    </w:p>
    <w:p w14:paraId="1845F38D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Quality Nominee</w:t>
      </w:r>
    </w:p>
    <w:p w14:paraId="4E9D28E3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Maintains conflict register; verifies removal of conflicts in QA processes.</w:t>
      </w:r>
    </w:p>
    <w:p w14:paraId="7E365CEF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Assessors &amp; Trainers</w:t>
      </w:r>
    </w:p>
    <w:p w14:paraId="0698402D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Declare conflicts immediately and avoid related assessment decisions.</w:t>
      </w:r>
    </w:p>
    <w:p w14:paraId="19E2C1DC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Administrative Staff</w:t>
      </w:r>
    </w:p>
    <w:p w14:paraId="2B33E1A6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lastRenderedPageBreak/>
        <w:t>Ensure conflict-free admissions and learner support processes.</w:t>
      </w:r>
    </w:p>
    <w:p w14:paraId="00647726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Learners</w:t>
      </w:r>
    </w:p>
    <w:p w14:paraId="293B981D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Declare any relationships that may impact assessment fairness.</w:t>
      </w:r>
    </w:p>
    <w:p w14:paraId="6E4769EC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5993E50F">
          <v:rect id="_x0000_i1128" style="width:0;height:1.5pt" o:hralign="center" o:hrstd="t" o:hr="t" fillcolor="#a0a0a0" stroked="f"/>
        </w:pict>
      </w:r>
    </w:p>
    <w:p w14:paraId="44B785B6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14. Policy Review</w:t>
      </w:r>
    </w:p>
    <w:p w14:paraId="4F915E13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>This policy is reviewed annually in accordance with KHDA institutional requirements.</w:t>
      </w:r>
    </w:p>
    <w:p w14:paraId="16D2D945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t xml:space="preserve">Next review due: </w:t>
      </w:r>
      <w:r w:rsidRPr="009B746B">
        <w:rPr>
          <w:b/>
          <w:bCs/>
          <w:lang w:val="en-IN"/>
        </w:rPr>
        <w:t>09 September 2026</w:t>
      </w:r>
    </w:p>
    <w:p w14:paraId="31E5E1CB" w14:textId="77777777" w:rsidR="009B746B" w:rsidRPr="009B746B" w:rsidRDefault="009B746B" w:rsidP="009B746B">
      <w:pPr>
        <w:rPr>
          <w:lang w:val="en-IN"/>
        </w:rPr>
      </w:pPr>
      <w:r w:rsidRPr="009B746B">
        <w:rPr>
          <w:lang w:val="en-IN"/>
        </w:rPr>
        <w:pict w14:anchorId="19C75920">
          <v:rect id="_x0000_i1129" style="width:0;height:1.5pt" o:hralign="center" o:hrstd="t" o:hr="t" fillcolor="#a0a0a0" stroked="f"/>
        </w:pict>
      </w:r>
    </w:p>
    <w:p w14:paraId="5B13E549" w14:textId="77777777" w:rsidR="009B746B" w:rsidRP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Approval</w:t>
      </w:r>
    </w:p>
    <w:p w14:paraId="00960A6E" w14:textId="77777777" w:rsidR="009B746B" w:rsidRDefault="009B746B" w:rsidP="009B746B">
      <w:pPr>
        <w:rPr>
          <w:b/>
          <w:bCs/>
          <w:lang w:val="en-IN"/>
        </w:rPr>
      </w:pPr>
      <w:r w:rsidRPr="009B746B">
        <w:rPr>
          <w:b/>
          <w:bCs/>
          <w:lang w:val="en-IN"/>
        </w:rPr>
        <w:t>Name:</w:t>
      </w:r>
      <w:r w:rsidRPr="009B746B">
        <w:rPr>
          <w:lang w:val="en-IN"/>
        </w:rPr>
        <w:t xml:space="preserve"> Shivanjan Chakraborty</w:t>
      </w:r>
      <w:r w:rsidRPr="009B746B">
        <w:rPr>
          <w:lang w:val="en-IN"/>
        </w:rPr>
        <w:br/>
      </w:r>
      <w:r w:rsidRPr="009B746B">
        <w:rPr>
          <w:b/>
          <w:bCs/>
          <w:lang w:val="en-IN"/>
        </w:rPr>
        <w:t>Title:</w:t>
      </w:r>
      <w:r w:rsidRPr="009B746B">
        <w:rPr>
          <w:lang w:val="en-IN"/>
        </w:rPr>
        <w:t xml:space="preserve"> Director, East Bridge Training</w:t>
      </w:r>
      <w:r w:rsidRPr="009B746B">
        <w:rPr>
          <w:lang w:val="en-IN"/>
        </w:rPr>
        <w:br/>
      </w:r>
    </w:p>
    <w:p w14:paraId="7D234D5D" w14:textId="1CA41ECB" w:rsidR="009B746B" w:rsidRDefault="009B746B" w:rsidP="009B746B">
      <w:pPr>
        <w:rPr>
          <w:b/>
          <w:bCs/>
          <w:lang w:val="en-IN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752" behindDoc="1" locked="0" layoutInCell="1" allowOverlap="1" wp14:anchorId="38BF1B90" wp14:editId="5A58D143">
            <wp:simplePos x="0" y="0"/>
            <wp:positionH relativeFrom="column">
              <wp:posOffset>868680</wp:posOffset>
            </wp:positionH>
            <wp:positionV relativeFrom="paragraph">
              <wp:posOffset>203835</wp:posOffset>
            </wp:positionV>
            <wp:extent cx="1432560" cy="353060"/>
            <wp:effectExtent l="0" t="0" r="0" b="8890"/>
            <wp:wrapTight wrapText="bothSides">
              <wp:wrapPolygon edited="0">
                <wp:start x="287" y="3496"/>
                <wp:lineTo x="0" y="13986"/>
                <wp:lineTo x="0" y="19813"/>
                <wp:lineTo x="4309" y="20978"/>
                <wp:lineTo x="6032" y="20978"/>
                <wp:lineTo x="20106" y="18647"/>
                <wp:lineTo x="21255" y="8158"/>
                <wp:lineTo x="20106" y="3496"/>
                <wp:lineTo x="287" y="3496"/>
              </wp:wrapPolygon>
            </wp:wrapTight>
            <wp:docPr id="1368037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707BB" w14:textId="33311B2C" w:rsidR="009B746B" w:rsidRDefault="009B746B" w:rsidP="009B746B">
      <w:pPr>
        <w:rPr>
          <w:b/>
          <w:bCs/>
          <w:lang w:val="en-IN"/>
        </w:rPr>
      </w:pPr>
    </w:p>
    <w:p w14:paraId="255018BB" w14:textId="02D76757" w:rsidR="009B746B" w:rsidRPr="009B746B" w:rsidRDefault="009B746B" w:rsidP="009B746B">
      <w:pPr>
        <w:rPr>
          <w:lang w:val="en-IN"/>
        </w:rPr>
      </w:pPr>
      <w:r w:rsidRPr="009B746B">
        <w:rPr>
          <w:b/>
          <w:bCs/>
          <w:lang w:val="en-IN"/>
        </w:rPr>
        <w:t>Signature:</w:t>
      </w:r>
      <w:r w:rsidRPr="009B746B">
        <w:rPr>
          <w:lang w:val="en-IN"/>
        </w:rPr>
        <w:t xml:space="preserve"> ___</w:t>
      </w:r>
      <w:r w:rsidRPr="009B746B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9B746B">
        <w:rPr>
          <w:lang w:val="en-IN"/>
        </w:rPr>
        <w:t>_________________________</w:t>
      </w:r>
      <w:r w:rsidRPr="009B746B">
        <w:rPr>
          <w:lang w:val="en-IN"/>
        </w:rPr>
        <w:br/>
      </w:r>
      <w:r w:rsidRPr="009B746B">
        <w:rPr>
          <w:b/>
          <w:bCs/>
          <w:lang w:val="en-IN"/>
        </w:rPr>
        <w:t>Date:</w:t>
      </w:r>
      <w:r w:rsidRPr="009B746B">
        <w:rPr>
          <w:lang w:val="en-IN"/>
        </w:rPr>
        <w:t xml:space="preserve"> 09 September 2025</w:t>
      </w:r>
    </w:p>
    <w:p w14:paraId="1B275923" w14:textId="7C76B478" w:rsidR="009A2A92" w:rsidRPr="009B746B" w:rsidRDefault="009A2A92" w:rsidP="009B746B"/>
    <w:sectPr w:rsidR="009A2A92" w:rsidRPr="009B74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43A22"/>
    <w:multiLevelType w:val="multilevel"/>
    <w:tmpl w:val="C27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FE600A"/>
    <w:multiLevelType w:val="multilevel"/>
    <w:tmpl w:val="67D6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26359B"/>
    <w:multiLevelType w:val="multilevel"/>
    <w:tmpl w:val="783E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7382B"/>
    <w:multiLevelType w:val="multilevel"/>
    <w:tmpl w:val="2482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904C4B"/>
    <w:multiLevelType w:val="multilevel"/>
    <w:tmpl w:val="5F16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FD3CDF"/>
    <w:multiLevelType w:val="multilevel"/>
    <w:tmpl w:val="0890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826529"/>
    <w:multiLevelType w:val="multilevel"/>
    <w:tmpl w:val="287A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F45C5"/>
    <w:multiLevelType w:val="multilevel"/>
    <w:tmpl w:val="C92E8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084E33"/>
    <w:multiLevelType w:val="multilevel"/>
    <w:tmpl w:val="9C6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328E4"/>
    <w:multiLevelType w:val="multilevel"/>
    <w:tmpl w:val="E6BA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A1C41"/>
    <w:multiLevelType w:val="multilevel"/>
    <w:tmpl w:val="1D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B0F2C"/>
    <w:multiLevelType w:val="multilevel"/>
    <w:tmpl w:val="83F2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57C8D"/>
    <w:multiLevelType w:val="multilevel"/>
    <w:tmpl w:val="EE5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C6715"/>
    <w:multiLevelType w:val="multilevel"/>
    <w:tmpl w:val="CE7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426754">
    <w:abstractNumId w:val="8"/>
  </w:num>
  <w:num w:numId="2" w16cid:durableId="1820420812">
    <w:abstractNumId w:val="6"/>
  </w:num>
  <w:num w:numId="3" w16cid:durableId="69428109">
    <w:abstractNumId w:val="5"/>
  </w:num>
  <w:num w:numId="4" w16cid:durableId="1695035328">
    <w:abstractNumId w:val="4"/>
  </w:num>
  <w:num w:numId="5" w16cid:durableId="1236630088">
    <w:abstractNumId w:val="7"/>
  </w:num>
  <w:num w:numId="6" w16cid:durableId="954676854">
    <w:abstractNumId w:val="3"/>
  </w:num>
  <w:num w:numId="7" w16cid:durableId="566842923">
    <w:abstractNumId w:val="2"/>
  </w:num>
  <w:num w:numId="8" w16cid:durableId="1685935062">
    <w:abstractNumId w:val="1"/>
  </w:num>
  <w:num w:numId="9" w16cid:durableId="1601332798">
    <w:abstractNumId w:val="0"/>
  </w:num>
  <w:num w:numId="10" w16cid:durableId="24452054">
    <w:abstractNumId w:val="19"/>
  </w:num>
  <w:num w:numId="11" w16cid:durableId="1170606974">
    <w:abstractNumId w:val="14"/>
  </w:num>
  <w:num w:numId="12" w16cid:durableId="232745060">
    <w:abstractNumId w:val="13"/>
  </w:num>
  <w:num w:numId="13" w16cid:durableId="1919359104">
    <w:abstractNumId w:val="10"/>
  </w:num>
  <w:num w:numId="14" w16cid:durableId="176816834">
    <w:abstractNumId w:val="15"/>
  </w:num>
  <w:num w:numId="15" w16cid:durableId="1218978344">
    <w:abstractNumId w:val="21"/>
  </w:num>
  <w:num w:numId="16" w16cid:durableId="1694499772">
    <w:abstractNumId w:val="12"/>
  </w:num>
  <w:num w:numId="17" w16cid:durableId="839272273">
    <w:abstractNumId w:val="22"/>
  </w:num>
  <w:num w:numId="18" w16cid:durableId="1504279185">
    <w:abstractNumId w:val="16"/>
  </w:num>
  <w:num w:numId="19" w16cid:durableId="919871374">
    <w:abstractNumId w:val="20"/>
  </w:num>
  <w:num w:numId="20" w16cid:durableId="328026711">
    <w:abstractNumId w:val="17"/>
  </w:num>
  <w:num w:numId="21" w16cid:durableId="108009236">
    <w:abstractNumId w:val="18"/>
  </w:num>
  <w:num w:numId="22" w16cid:durableId="144250424">
    <w:abstractNumId w:val="9"/>
  </w:num>
  <w:num w:numId="23" w16cid:durableId="1660693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A2A92"/>
    <w:rsid w:val="009B746B"/>
    <w:rsid w:val="00AA1D8D"/>
    <w:rsid w:val="00B47730"/>
    <w:rsid w:val="00BF05F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4B8CA"/>
  <w14:defaultImageDpi w14:val="300"/>
  <w15:docId w15:val="{ACBD8807-FD98-480C-9B50-EA9D2A1C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2025-11-23T11:49:00Z</dcterms:modified>
  <cp:category/>
</cp:coreProperties>
</file>